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kern w:val="0"/>
          <w:sz w:val="18"/>
          <w:szCs w:val="18"/>
          <w:shd w:val="clear" w:color="auto" w:fill="FFFFFF"/>
        </w:rPr>
        <w:t>【事项名称】</w:t>
      </w:r>
      <w:r w:rsidRPr="00720A87">
        <w:rPr>
          <w:rFonts w:ascii="宋体" w:eastAsia="宋体" w:hAnsi="宋体" w:cs="宋体" w:hint="eastAsia"/>
          <w:kern w:val="0"/>
          <w:sz w:val="18"/>
          <w:szCs w:val="18"/>
          <w:shd w:val="clear" w:color="auto" w:fill="FFFFFF"/>
        </w:rPr>
        <w:t>进料加工企业计划分配率调整</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kern w:val="0"/>
          <w:sz w:val="18"/>
          <w:szCs w:val="18"/>
          <w:shd w:val="clear" w:color="auto" w:fill="FFFFFF"/>
        </w:rPr>
        <w:t>【事项描述】</w:t>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shd w:val="clear" w:color="auto" w:fill="FFFFFF"/>
        </w:rPr>
        <w:t>生产企业在办理年度进料加工业务核销后，如认为《生产企业进料加工业务免抵退税核销表》中的“上年度已核销手（账）册综合实际分配率”与企业当年度实际情况差别较大的，可在向主管税务机关报送当年度预计的进料加工计划分配率及书面合理理由后，将预计的进料加工计划分配率作为该年度的计划分配率。</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kern w:val="0"/>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720A87" w:rsidRPr="00720A87" w:rsidTr="00720A87">
        <w:trPr>
          <w:trHeight w:val="90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0A87" w:rsidRPr="00720A87" w:rsidRDefault="00720A87" w:rsidP="00720A87">
            <w:pPr>
              <w:widowControl/>
              <w:topLinePunct/>
              <w:spacing w:line="75" w:lineRule="atLeast"/>
              <w:jc w:val="center"/>
              <w:rPr>
                <w:rFonts w:ascii="宋体" w:eastAsia="宋体" w:hAnsi="宋体" w:cs="宋体"/>
                <w:kern w:val="0"/>
                <w:sz w:val="24"/>
                <w:szCs w:val="24"/>
              </w:rPr>
            </w:pPr>
            <w:r w:rsidRPr="00720A87">
              <w:rPr>
                <w:rFonts w:ascii="宋体" w:eastAsia="宋体" w:hAnsi="宋体" w:cs="宋体" w:hint="eastAsia"/>
                <w:kern w:val="0"/>
                <w:sz w:val="18"/>
                <w:szCs w:val="18"/>
              </w:rPr>
              <w:t>序号</w:t>
            </w:r>
          </w:p>
        </w:tc>
        <w:tc>
          <w:tcPr>
            <w:tcW w:w="4253" w:type="dxa"/>
            <w:tcBorders>
              <w:top w:val="single" w:sz="4" w:space="0" w:color="auto"/>
              <w:left w:val="nil"/>
              <w:bottom w:val="single" w:sz="4" w:space="0" w:color="auto"/>
              <w:right w:val="single" w:sz="4" w:space="0" w:color="auto"/>
            </w:tcBorders>
            <w:shd w:val="clear" w:color="auto" w:fill="D9D9D9"/>
            <w:vAlign w:val="center"/>
            <w:hideMark/>
          </w:tcPr>
          <w:p w:rsidR="00720A87" w:rsidRPr="00720A87" w:rsidRDefault="00720A87" w:rsidP="00720A87">
            <w:pPr>
              <w:widowControl/>
              <w:topLinePunct/>
              <w:spacing w:line="75" w:lineRule="atLeast"/>
              <w:jc w:val="center"/>
              <w:rPr>
                <w:rFonts w:ascii="宋体" w:eastAsia="宋体" w:hAnsi="宋体" w:cs="宋体"/>
                <w:kern w:val="0"/>
                <w:sz w:val="24"/>
                <w:szCs w:val="24"/>
              </w:rPr>
            </w:pPr>
            <w:r w:rsidRPr="00720A87">
              <w:rPr>
                <w:rFonts w:ascii="宋体" w:eastAsia="宋体" w:hAnsi="宋体" w:cs="宋体" w:hint="eastAsia"/>
                <w:kern w:val="0"/>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720A87" w:rsidRPr="00720A87" w:rsidRDefault="00720A87" w:rsidP="00720A87">
            <w:pPr>
              <w:widowControl/>
              <w:topLinePunct/>
              <w:spacing w:line="75" w:lineRule="atLeast"/>
              <w:jc w:val="center"/>
              <w:rPr>
                <w:rFonts w:ascii="宋体" w:eastAsia="宋体" w:hAnsi="宋体" w:cs="宋体" w:hint="eastAsia"/>
                <w:kern w:val="0"/>
                <w:sz w:val="24"/>
                <w:szCs w:val="24"/>
              </w:rPr>
            </w:pPr>
            <w:r w:rsidRPr="00720A87">
              <w:rPr>
                <w:rFonts w:ascii="宋体" w:eastAsia="宋体" w:hAnsi="宋体" w:cs="宋体" w:hint="eastAsia"/>
                <w:kern w:val="0"/>
                <w:sz w:val="18"/>
                <w:szCs w:val="18"/>
              </w:rPr>
              <w:t>数</w:t>
            </w:r>
          </w:p>
          <w:p w:rsidR="00720A87" w:rsidRPr="00720A87" w:rsidRDefault="00720A87" w:rsidP="00720A87">
            <w:pPr>
              <w:widowControl/>
              <w:topLinePunct/>
              <w:spacing w:line="75" w:lineRule="atLeast"/>
              <w:jc w:val="center"/>
              <w:rPr>
                <w:rFonts w:ascii="宋体" w:eastAsia="宋体" w:hAnsi="宋体" w:cs="宋体"/>
                <w:kern w:val="0"/>
                <w:sz w:val="24"/>
                <w:szCs w:val="24"/>
              </w:rPr>
            </w:pPr>
            <w:r w:rsidRPr="00720A87">
              <w:rPr>
                <w:rFonts w:ascii="宋体" w:eastAsia="宋体" w:hAnsi="宋体" w:cs="宋体" w:hint="eastAsia"/>
                <w:kern w:val="0"/>
                <w:sz w:val="18"/>
                <w:szCs w:val="18"/>
              </w:rPr>
              <w:t>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720A87" w:rsidRPr="00720A87" w:rsidRDefault="00720A87" w:rsidP="00720A87">
            <w:pPr>
              <w:widowControl/>
              <w:topLinePunct/>
              <w:spacing w:line="75" w:lineRule="atLeast"/>
              <w:jc w:val="center"/>
              <w:rPr>
                <w:rFonts w:ascii="宋体" w:eastAsia="宋体" w:hAnsi="宋体" w:cs="宋体"/>
                <w:kern w:val="0"/>
                <w:sz w:val="24"/>
                <w:szCs w:val="24"/>
              </w:rPr>
            </w:pPr>
            <w:r w:rsidRPr="00720A87">
              <w:rPr>
                <w:rFonts w:ascii="宋体" w:eastAsia="宋体" w:hAnsi="宋体" w:cs="宋体" w:hint="eastAsia"/>
                <w:kern w:val="0"/>
                <w:sz w:val="18"/>
                <w:szCs w:val="18"/>
              </w:rPr>
              <w:t>备注</w:t>
            </w:r>
          </w:p>
        </w:tc>
      </w:tr>
      <w:tr w:rsidR="00720A87" w:rsidRPr="00720A87" w:rsidTr="00720A87">
        <w:trPr>
          <w:trHeight w:val="75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720A87" w:rsidRPr="00720A87" w:rsidRDefault="00720A87" w:rsidP="00720A87">
            <w:pPr>
              <w:widowControl/>
              <w:topLinePunct/>
              <w:spacing w:line="75" w:lineRule="atLeast"/>
              <w:jc w:val="center"/>
              <w:rPr>
                <w:rFonts w:ascii="宋体" w:eastAsia="宋体" w:hAnsi="宋体" w:cs="宋体"/>
                <w:kern w:val="0"/>
                <w:sz w:val="24"/>
                <w:szCs w:val="24"/>
              </w:rPr>
            </w:pPr>
            <w:r w:rsidRPr="00720A87">
              <w:rPr>
                <w:rFonts w:ascii="宋体" w:eastAsia="宋体" w:hAnsi="宋体" w:cs="宋体" w:hint="eastAsia"/>
                <w:kern w:val="0"/>
                <w:sz w:val="18"/>
                <w:szCs w:val="18"/>
              </w:rPr>
              <w:t>1</w:t>
            </w:r>
          </w:p>
        </w:tc>
        <w:tc>
          <w:tcPr>
            <w:tcW w:w="4253" w:type="dxa"/>
            <w:tcBorders>
              <w:top w:val="single" w:sz="4" w:space="0" w:color="auto"/>
              <w:left w:val="nil"/>
              <w:bottom w:val="single" w:sz="4" w:space="0" w:color="auto"/>
              <w:right w:val="single" w:sz="4" w:space="0" w:color="auto"/>
            </w:tcBorders>
            <w:vAlign w:val="center"/>
            <w:hideMark/>
          </w:tcPr>
          <w:p w:rsidR="00720A87" w:rsidRPr="00720A87" w:rsidRDefault="00720A87" w:rsidP="00720A87">
            <w:pPr>
              <w:widowControl/>
              <w:topLinePunct/>
              <w:spacing w:line="75" w:lineRule="atLeast"/>
              <w:jc w:val="left"/>
              <w:rPr>
                <w:rFonts w:ascii="宋体" w:eastAsia="宋体" w:hAnsi="宋体" w:cs="宋体"/>
                <w:kern w:val="0"/>
                <w:sz w:val="24"/>
                <w:szCs w:val="24"/>
              </w:rPr>
            </w:pPr>
            <w:r w:rsidRPr="00720A87">
              <w:rPr>
                <w:rFonts w:ascii="宋体" w:eastAsia="宋体" w:hAnsi="宋体" w:cs="宋体" w:hint="eastAsia"/>
                <w:kern w:val="0"/>
                <w:sz w:val="18"/>
                <w:szCs w:val="18"/>
              </w:rPr>
              <w:t>计划分配率调整的书面合理理由及相关证明材料。</w:t>
            </w:r>
          </w:p>
        </w:tc>
        <w:tc>
          <w:tcPr>
            <w:tcW w:w="708" w:type="dxa"/>
            <w:tcBorders>
              <w:top w:val="single" w:sz="4" w:space="0" w:color="auto"/>
              <w:left w:val="nil"/>
              <w:bottom w:val="single" w:sz="4" w:space="0" w:color="auto"/>
              <w:right w:val="single" w:sz="4" w:space="0" w:color="auto"/>
            </w:tcBorders>
            <w:vAlign w:val="center"/>
            <w:hideMark/>
          </w:tcPr>
          <w:p w:rsidR="00720A87" w:rsidRPr="00720A87" w:rsidRDefault="00720A87" w:rsidP="00720A87">
            <w:pPr>
              <w:widowControl/>
              <w:topLinePunct/>
              <w:spacing w:line="75" w:lineRule="atLeast"/>
              <w:jc w:val="center"/>
              <w:rPr>
                <w:rFonts w:ascii="宋体" w:eastAsia="宋体" w:hAnsi="宋体" w:cs="宋体"/>
                <w:kern w:val="0"/>
                <w:sz w:val="24"/>
                <w:szCs w:val="24"/>
              </w:rPr>
            </w:pPr>
            <w:r w:rsidRPr="00720A87">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720A87" w:rsidRPr="00720A87" w:rsidRDefault="00720A87" w:rsidP="00720A87">
            <w:pPr>
              <w:widowControl/>
              <w:topLinePunct/>
              <w:spacing w:line="75" w:lineRule="atLeast"/>
              <w:jc w:val="left"/>
              <w:rPr>
                <w:rFonts w:ascii="宋体" w:eastAsia="宋体" w:hAnsi="宋体" w:cs="宋体"/>
                <w:kern w:val="0"/>
                <w:sz w:val="24"/>
                <w:szCs w:val="24"/>
              </w:rPr>
            </w:pPr>
            <w:r w:rsidRPr="00720A87">
              <w:rPr>
                <w:rFonts w:ascii="宋体" w:eastAsia="宋体" w:hAnsi="宋体" w:cs="宋体" w:hint="eastAsia"/>
                <w:kern w:val="0"/>
                <w:sz w:val="18"/>
                <w:szCs w:val="18"/>
              </w:rPr>
              <w:t> </w:t>
            </w:r>
          </w:p>
        </w:tc>
      </w:tr>
    </w:tbl>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kern w:val="0"/>
          <w:sz w:val="18"/>
          <w:szCs w:val="18"/>
          <w:shd w:val="clear" w:color="auto" w:fill="FFFFFF"/>
        </w:rPr>
        <w:t>【办理渠道】</w:t>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shd w:val="clear" w:color="auto" w:fill="FFFFFF"/>
        </w:rPr>
        <w:t>主管税务机关办税服务厅。</w:t>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b/>
          <w:bCs/>
          <w:sz w:val="18"/>
          <w:szCs w:val="18"/>
          <w:shd w:val="clear" w:color="auto" w:fill="FFFFFF"/>
        </w:rPr>
        <w:t>【办理流程】</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kern w:val="0"/>
          <w:sz w:val="18"/>
          <w:szCs w:val="18"/>
          <w:shd w:val="clear" w:color="auto" w:fill="FFFFFF"/>
        </w:rPr>
        <w:t xml:space="preserve"> </w:t>
      </w:r>
      <w:r>
        <w:rPr>
          <w:rFonts w:ascii="宋体" w:eastAsia="宋体" w:hAnsi="宋体" w:cs="宋体"/>
          <w:noProof/>
          <w:kern w:val="0"/>
          <w:sz w:val="18"/>
          <w:szCs w:val="18"/>
          <w:shd w:val="clear" w:color="auto" w:fill="FFFFFF"/>
        </w:rPr>
        <w:drawing>
          <wp:inline distT="0" distB="0" distL="0" distR="0">
            <wp:extent cx="3933825" cy="2276475"/>
            <wp:effectExtent l="19050" t="0" r="9525" b="0"/>
            <wp:docPr id="5" name="图片 5" descr="https://etax.guangxi.chinatax.gov.cn:9727/web/uploadfile/editor/1567908750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tax.guangxi.chinatax.gov.cn:9727/web/uploadfile/editor/1567908750606.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shd w:val="clear" w:color="auto" w:fill="FFFFFF"/>
        </w:rPr>
        <w:t xml:space="preserve"> </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sz w:val="18"/>
          <w:szCs w:val="18"/>
        </w:rPr>
        <w:t xml:space="preserve">【办理时间】 </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sz w:val="18"/>
          <w:szCs w:val="18"/>
        </w:rPr>
        <w:t>工作时间，具体可在国家税务总局广西壮族自治区税务局门户网站查询，或拨打12366查询。</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kern w:val="0"/>
          <w:sz w:val="18"/>
          <w:szCs w:val="18"/>
          <w:shd w:val="clear" w:color="auto" w:fill="FFFFFF"/>
        </w:rPr>
        <w:t>【办理时限】</w:t>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shd w:val="clear" w:color="auto" w:fill="FFFFFF"/>
        </w:rPr>
        <w:t>资料齐全、符合法定形式的，税务机关应自受理之日起20个工作日内办结。</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kern w:val="0"/>
          <w:sz w:val="18"/>
          <w:szCs w:val="18"/>
          <w:shd w:val="clear" w:color="auto" w:fill="FFFFFF"/>
        </w:rPr>
        <w:lastRenderedPageBreak/>
        <w:t>【办理结果】</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sz w:val="18"/>
          <w:szCs w:val="18"/>
          <w:shd w:val="clear" w:color="auto" w:fill="FFFFFF"/>
        </w:rPr>
        <w:t>税务机关出具《税务事项通知书》。</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sz w:val="18"/>
          <w:szCs w:val="18"/>
        </w:rPr>
        <w:t>【联系电话】</w:t>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rPr>
        <w:t>联系电话可在国家税务总局广西壮族自治区税务局门户网站查询，或拨打12366查询。</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kern w:val="0"/>
          <w:sz w:val="18"/>
          <w:szCs w:val="18"/>
          <w:shd w:val="clear" w:color="auto" w:fill="FFFFFF"/>
        </w:rPr>
        <w:t>【纳税人注意事项】</w:t>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shd w:val="clear" w:color="auto" w:fill="FFFFFF"/>
        </w:rPr>
        <w:t>1．纳税人对报送材料的真实性和合法性承担责任。</w:t>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shd w:val="clear" w:color="auto" w:fill="FFFFFF"/>
        </w:rPr>
        <w:t>2. 办税服务厅地址、电子税务局网址，可在广西壮族自治区税务局门户网站或拨打12366查询。</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bookmarkStart w:id="0" w:name="falv"/>
      <w:r w:rsidRPr="00720A87">
        <w:rPr>
          <w:rFonts w:ascii="宋体" w:eastAsia="宋体" w:hAnsi="宋体" w:cs="宋体" w:hint="eastAsia"/>
          <w:b/>
          <w:bCs/>
          <w:kern w:val="0"/>
          <w:sz w:val="18"/>
          <w:szCs w:val="18"/>
          <w:shd w:val="clear" w:color="auto" w:fill="FFFFFF"/>
        </w:rPr>
        <w:t>【政策依据】</w:t>
      </w:r>
      <w:bookmarkEnd w:id="0"/>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shd w:val="clear" w:color="auto" w:fill="FFFFFF"/>
        </w:rPr>
        <w:t>1．《国家税务总局关于出口货物劳务增值税和消费税有关问题的公告》（国家税务总局公告2013年第65号）</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b/>
          <w:bCs/>
          <w:sz w:val="18"/>
          <w:szCs w:val="18"/>
        </w:rPr>
        <w:t>【收费标准】</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sz w:val="18"/>
          <w:szCs w:val="18"/>
        </w:rPr>
        <w:t>无收费</w:t>
      </w:r>
    </w:p>
    <w:p w:rsidR="00720A87" w:rsidRPr="00720A87" w:rsidRDefault="00720A87" w:rsidP="00720A87">
      <w:pPr>
        <w:widowControl/>
        <w:shd w:val="clear" w:color="auto" w:fill="FFFFFF"/>
        <w:spacing w:before="270" w:after="240" w:line="432" w:lineRule="auto"/>
        <w:jc w:val="left"/>
        <w:rPr>
          <w:rFonts w:ascii="����" w:eastAsia="宋体" w:hAnsi="����" w:cs="宋体"/>
          <w:kern w:val="0"/>
          <w:szCs w:val="21"/>
        </w:rPr>
      </w:pPr>
      <w:r w:rsidRPr="00720A87">
        <w:rPr>
          <w:rFonts w:ascii="宋体" w:eastAsia="宋体" w:hAnsi="宋体" w:cs="宋体" w:hint="eastAsia"/>
          <w:sz w:val="18"/>
          <w:szCs w:val="18"/>
          <w:shd w:val="clear" w:color="auto" w:fill="FFFFFF"/>
        </w:rPr>
        <w:t xml:space="preserve"> </w:t>
      </w:r>
    </w:p>
    <w:p w:rsidR="00720A87" w:rsidRPr="00720A87" w:rsidRDefault="00720A87" w:rsidP="00720A87">
      <w:pPr>
        <w:shd w:val="clear" w:color="auto" w:fill="FFFFFF"/>
        <w:spacing w:before="100" w:beforeAutospacing="1" w:after="100" w:afterAutospacing="1" w:line="432" w:lineRule="auto"/>
        <w:jc w:val="left"/>
        <w:rPr>
          <w:rFonts w:ascii="����" w:eastAsia="宋体" w:hAnsi="����" w:cs="宋体"/>
          <w:kern w:val="0"/>
          <w:szCs w:val="21"/>
        </w:rPr>
      </w:pPr>
      <w:r w:rsidRPr="00720A87">
        <w:rPr>
          <w:rFonts w:ascii="宋体" w:eastAsia="宋体" w:hAnsi="宋体" w:cs="宋体" w:hint="eastAsia"/>
          <w:vanish/>
          <w:sz w:val="18"/>
          <w:szCs w:val="18"/>
        </w:rPr>
        <w:t>窗体底端</w:t>
      </w:r>
    </w:p>
    <w:p w:rsidR="00720A87" w:rsidRPr="00720A87" w:rsidRDefault="00720A87" w:rsidP="00720A87">
      <w:pPr>
        <w:widowControl/>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vanish/>
          <w:sz w:val="18"/>
          <w:szCs w:val="18"/>
        </w:rPr>
        <w:t xml:space="preserve"> </w:t>
      </w:r>
    </w:p>
    <w:p w:rsidR="00720A87" w:rsidRPr="00720A87" w:rsidRDefault="00720A87" w:rsidP="00720A87">
      <w:pPr>
        <w:shd w:val="clear" w:color="auto" w:fill="FFFFFF"/>
        <w:spacing w:line="75" w:lineRule="atLeast"/>
        <w:jc w:val="left"/>
        <w:rPr>
          <w:rFonts w:ascii="宋体" w:eastAsia="宋体" w:hAnsi="宋体" w:cs="宋体"/>
          <w:kern w:val="0"/>
          <w:sz w:val="24"/>
          <w:szCs w:val="24"/>
        </w:rPr>
      </w:pPr>
      <w:r w:rsidRPr="00720A87">
        <w:rPr>
          <w:rFonts w:ascii="宋体" w:eastAsia="宋体" w:hAnsi="宋体" w:cs="宋体" w:hint="eastAsia"/>
          <w:sz w:val="18"/>
          <w:szCs w:val="18"/>
        </w:rPr>
        <w:t xml:space="preserve"> </w:t>
      </w:r>
    </w:p>
    <w:p w:rsidR="00676A29" w:rsidRPr="00720A87" w:rsidRDefault="00720A87" w:rsidP="00720A87"/>
    <w:sectPr w:rsidR="00676A29" w:rsidRPr="00720A87" w:rsidSect="004D2A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42F3"/>
    <w:rsid w:val="00351409"/>
    <w:rsid w:val="004D2A74"/>
    <w:rsid w:val="0069768C"/>
    <w:rsid w:val="00720A87"/>
    <w:rsid w:val="009D42F3"/>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A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9D42F3"/>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9D42F3"/>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9D42F3"/>
    <w:rPr>
      <w:sz w:val="18"/>
      <w:szCs w:val="18"/>
    </w:rPr>
  </w:style>
  <w:style w:type="character" w:customStyle="1" w:styleId="Char">
    <w:name w:val="批注框文本 Char"/>
    <w:basedOn w:val="a0"/>
    <w:link w:val="a3"/>
    <w:uiPriority w:val="99"/>
    <w:semiHidden/>
    <w:rsid w:val="009D42F3"/>
    <w:rPr>
      <w:sz w:val="18"/>
      <w:szCs w:val="18"/>
    </w:rPr>
  </w:style>
</w:styles>
</file>

<file path=word/webSettings.xml><?xml version="1.0" encoding="utf-8"?>
<w:webSettings xmlns:r="http://schemas.openxmlformats.org/officeDocument/2006/relationships" xmlns:w="http://schemas.openxmlformats.org/wordprocessingml/2006/main">
  <w:divs>
    <w:div w:id="905728440">
      <w:bodyDiv w:val="1"/>
      <w:marLeft w:val="0"/>
      <w:marRight w:val="0"/>
      <w:marTop w:val="0"/>
      <w:marBottom w:val="0"/>
      <w:divBdr>
        <w:top w:val="none" w:sz="0" w:space="0" w:color="auto"/>
        <w:left w:val="none" w:sz="0" w:space="0" w:color="auto"/>
        <w:bottom w:val="none" w:sz="0" w:space="0" w:color="auto"/>
        <w:right w:val="none" w:sz="0" w:space="0" w:color="auto"/>
      </w:divBdr>
      <w:divsChild>
        <w:div w:id="1951547748">
          <w:marLeft w:val="0"/>
          <w:marRight w:val="0"/>
          <w:marTop w:val="270"/>
          <w:marBottom w:val="240"/>
          <w:divBdr>
            <w:top w:val="single" w:sz="6" w:space="8" w:color="D8D8D6"/>
            <w:left w:val="single" w:sz="6" w:space="8" w:color="D8D8D6"/>
            <w:bottom w:val="single" w:sz="6" w:space="8" w:color="D8D8D6"/>
            <w:right w:val="single" w:sz="6" w:space="8" w:color="D8D8D6"/>
          </w:divBdr>
          <w:divsChild>
            <w:div w:id="187095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99335">
      <w:bodyDiv w:val="1"/>
      <w:marLeft w:val="0"/>
      <w:marRight w:val="0"/>
      <w:marTop w:val="0"/>
      <w:marBottom w:val="0"/>
      <w:divBdr>
        <w:top w:val="none" w:sz="0" w:space="0" w:color="auto"/>
        <w:left w:val="none" w:sz="0" w:space="0" w:color="auto"/>
        <w:bottom w:val="none" w:sz="0" w:space="0" w:color="auto"/>
        <w:right w:val="none" w:sz="0" w:space="0" w:color="auto"/>
      </w:divBdr>
      <w:divsChild>
        <w:div w:id="1694499324">
          <w:marLeft w:val="0"/>
          <w:marRight w:val="0"/>
          <w:marTop w:val="270"/>
          <w:marBottom w:val="240"/>
          <w:divBdr>
            <w:top w:val="single" w:sz="6" w:space="8" w:color="D8D8D6"/>
            <w:left w:val="single" w:sz="6" w:space="8" w:color="D8D8D6"/>
            <w:bottom w:val="single" w:sz="6" w:space="8" w:color="D8D8D6"/>
            <w:right w:val="single" w:sz="6" w:space="8" w:color="D8D8D6"/>
          </w:divBdr>
          <w:divsChild>
            <w:div w:id="186771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578942">
      <w:bodyDiv w:val="1"/>
      <w:marLeft w:val="0"/>
      <w:marRight w:val="0"/>
      <w:marTop w:val="0"/>
      <w:marBottom w:val="0"/>
      <w:divBdr>
        <w:top w:val="none" w:sz="0" w:space="0" w:color="auto"/>
        <w:left w:val="none" w:sz="0" w:space="0" w:color="auto"/>
        <w:bottom w:val="none" w:sz="0" w:space="0" w:color="auto"/>
        <w:right w:val="none" w:sz="0" w:space="0" w:color="auto"/>
      </w:divBdr>
      <w:divsChild>
        <w:div w:id="2010405200">
          <w:marLeft w:val="0"/>
          <w:marRight w:val="0"/>
          <w:marTop w:val="270"/>
          <w:marBottom w:val="240"/>
          <w:divBdr>
            <w:top w:val="single" w:sz="6" w:space="8" w:color="D8D8D6"/>
            <w:left w:val="single" w:sz="6" w:space="8" w:color="D8D8D6"/>
            <w:bottom w:val="single" w:sz="6" w:space="8" w:color="D8D8D6"/>
            <w:right w:val="single" w:sz="6" w:space="8" w:color="D8D8D6"/>
          </w:divBdr>
          <w:divsChild>
            <w:div w:id="165794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2</cp:revision>
  <dcterms:created xsi:type="dcterms:W3CDTF">2019-09-30T04:03:00Z</dcterms:created>
  <dcterms:modified xsi:type="dcterms:W3CDTF">2019-09-30T04:03:00Z</dcterms:modified>
</cp:coreProperties>
</file>